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60" w:line="240" w:before="0"/>
        <w:ind w:firstLine="0"/>
        <w:jc w:val="center"/>
      </w:pPr>
      <w:bookmarkStart w:id="1" w:colFirst="0" w:name="h.30j0zll" w:colLast="0"/>
      <w:bookmarkEnd w:id="1"/>
      <w:r w:rsidRPr="00000000" w:rsidR="00000000" w:rsidDel="00000000">
        <w:rPr>
          <w:rFonts w:cs="Tahoma" w:hAnsi="Tahoma" w:eastAsia="Tahoma" w:ascii="Tahoma"/>
          <w:b w:val="1"/>
          <w:color w:val="0000ff"/>
          <w:sz w:val="28"/>
          <w:u w:val="single"/>
          <w:vertAlign w:val="baseline"/>
          <w:rtl w:val="0"/>
        </w:rPr>
        <w:t xml:space="preserve">Efetuar Pesquisa usando o Lucene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Para efetuar pesquisa usando índices do </w:t>
      </w: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LUCENE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é necessário usar o serviço em questão, será necessária a execução de qualquer um dos seguintes métodos: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LuceneIndiceLimitado</w:t>
      </w: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,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,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LuceneIndiceLimitadoWithSort</w:t>
      </w: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,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RetornaIndiceLuceneLimitado e LucStnIndex</w:t>
      </w: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que constam no Web Service do Grupo Aduaneiras, a partir de uma requisição enviada para o mesmo através de qualquer aplicação que possua o refedido acesso.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Assinaturas dos métodos: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LuceneIndiceLimitadoWithSort(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fieldSort,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bool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sortReverse,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RetornaIndiceLuceneLimitado(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_totalRetorno)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LucStnIndex(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queryStnLuc,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qualquer um dos métodos apresentados em sua aplicação, o mesmo realizará as validações necessárias dos parâmetros, por meio dos recursos, cabíveis e aplicáveis, de segurança de informação.</w:t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O Web Service poderá ser usado nas plataformas:</w:t>
      </w: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 Windows e Web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.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bookmarkStart w:id="2" w:colFirst="0" w:name="h.1fob9te" w:colLast="0"/>
      <w:bookmarkEnd w:id="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4"/>
          <w:u w:val="single"/>
          <w:vertAlign w:val="baseline"/>
          <w:rtl w:val="0"/>
        </w:rPr>
        <w:t xml:space="preserve">Regras para consumir o Web Service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Abaixo os passos necessários para a correta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1 – Adicionar referência ao Web Services: </w:t>
      </w:r>
      <w:hyperlink r:id="rId5">
        <w:r w:rsidRPr="00000000" w:rsidR="00000000" w:rsidDel="00000000">
          <w:rPr>
            <w:rFonts w:cs="Tahoma" w:hAnsi="Tahoma" w:eastAsia="Tahoma" w:ascii="Tahoma"/>
            <w:color w:val="0000ff"/>
            <w:sz w:val="20"/>
            <w:u w:val="single"/>
            <w:vertAlign w:val="baseline"/>
            <w:rtl w:val="0"/>
          </w:rPr>
          <w:t xml:space="preserve">http://webservice4.aduaneiras.com.br/service.asmx?wsdl</w:t>
        </w:r>
      </w:hyperlink>
    </w:p>
    <w:p w:rsidP="00000000" w:rsidRPr="00000000" w:rsidR="00000000" w:rsidDel="00000000" w:rsidRDefault="00000000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</w:pPr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2 – Consumir qualquer um dos métodos abaixo: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LuceneIndiceLimitadoWithSort(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fieldSort,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bool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sortReverse,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RetornaIndiceLuceneLimitado(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_totalRetorno)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LucStnIndex(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queryStnLuc,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ff0000"/>
          <w:vertAlign w:val="baseline"/>
          <w:rtl w:val="0"/>
        </w:rPr>
        <w:t xml:space="preserve">OBS: “Aconselhamos a não utilização do seguinte método:” public string LuceneIndice (string QueryLucene, string key)”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 método: LuceneIndiceLimitado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 assinatura deste método é a seguinte: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dos parâmetros do mesmo: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este método em uma aplicação cliente, a partir de uma instância do Web Service que esteja sendo utilizada dentro da mesma, o usuário deverá informar os seguintes parâmetros: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 seguintes regras deverão ser observadas durante 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Todos os campos deverão ser obrigatoriamente preenchidos.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tbl>
      <w:tblPr>
        <w:tblW w:w="897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70"/>
        <w:gridCol w:w="3060"/>
        <w:gridCol w:w="4048"/>
      </w:tblGrid>
      <w:tr>
        <w:trPr>
          <w:trHeight w:val="3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Parâmetro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Descrição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OBS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QueryLucene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Query a ser enviada para o Lucene.</w:t>
              <w:br w:type="textWrapping"/>
            </w:r>
          </w:p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query que será executada através do Web Service. OBS: Esta query deve ser informada dentro dos padrões correspondente ao Lucene.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key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Senha para acesso ao método do Web Service.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Senha para acesso ao método do Web Service, esta senha será gerada pelo Departamento de Desenvolvimento de Sistemas da Aduaneiras, sendo transmitida posteriromente.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limit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de IDs que será retornado pelo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quantidade de registros pesquisados.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totalResults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total de IDs encontrados no Índice do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Total de registros encontrados dentro do indece do Lucene. OBS: Este é total de registros e não o total informado no parametro: 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0"/>
                <w:vertAlign w:val="baseline"/>
                <w:rtl w:val="0"/>
              </w:rPr>
              <w:t xml:space="preserve">limit.</w:t>
            </w:r>
          </w:p>
        </w:tc>
      </w:tr>
    </w:tbl>
    <w:p w:rsidP="00000000" w:rsidRPr="00000000" w:rsidR="00000000" w:rsidDel="00000000" w:rsidRDefault="00000000">
      <w:pPr>
        <w:tabs>
          <w:tab w:val="left" w:pos="6480"/>
        </w:tabs>
        <w:ind w:left="708"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8"/>
          <w:u w:val="single"/>
          <w:vertAlign w:val="baseline"/>
          <w:rtl w:val="0"/>
        </w:rPr>
        <w:t xml:space="preserve">Importante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0"/>
          <w:vertAlign w:val="baseline"/>
          <w:rtl w:val="0"/>
        </w:rPr>
        <w:t xml:space="preserve">Retorno do Método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: Retorna a classe: "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" preenchida com dados do índice.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Retorna a classe: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preenchida com dados encontrados pela busca do Lucene.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Exemplo de retorno do método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LuceneIndiceLimitado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no caso de execução com sucesso: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1,2,3,4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 método: LuceneIndiceLimit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 assinatura deste método é a seguinte: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dos parâmetros do mesmo: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este método em uma aplicação cliente, a partir de uma instância do Web Service que esteja sendo utilizada dentro da mesma, o usuário deverá informar os seguintes parâmetros: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 seguintes regras deverão ser observadas durante 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Todos os campos deverão ser obrigatoriamente preenchidos.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tbl>
      <w:tblPr>
        <w:tblW w:w="897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70"/>
        <w:gridCol w:w="3060"/>
        <w:gridCol w:w="4048"/>
        <w:gridCol w:w="100"/>
        <w:gridCol w:w="100"/>
        <w:gridCol w:w="100"/>
      </w:tblGrid>
      <w:tr>
        <w:trPr>
          <w:trHeight w:val="3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Parâmetro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Descrição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OBS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QueryLucene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Query a ser enviada para o Lucene.</w:t>
              <w:br w:type="textWrapping"/>
            </w:r>
          </w:p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query que será executada através do Web Service. OBS: Esta query deve ser informada dentro dos padrões correspondente ao Lucene.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key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Senha para acesso ao método do Web Service.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Senha para acesso ao método do Web Service, esta senha será gerada pelo Departamento de Desenvolvimento de Sistemas da Aduaneiras, sendo transmitida posteriromente.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limit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de IDs que será retornado pelo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quantidade de registros pesquisados.</w:t>
            </w:r>
          </w:p>
        </w:tc>
      </w:tr>
    </w:tbl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8"/>
          <w:u w:val="single"/>
          <w:vertAlign w:val="baseline"/>
          <w:rtl w:val="0"/>
        </w:rPr>
        <w:t xml:space="preserve">Importante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0"/>
          <w:vertAlign w:val="baseline"/>
          <w:rtl w:val="0"/>
        </w:rPr>
        <w:t xml:space="preserve">Retorno do Método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: Retorna a classe: "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" preenchida com dados do índice.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Retorna a classe: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preenchida com dados encontrados pela busca do Lucene.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Exemplo de retorno do método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no caso de execução com sucesso: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1,2,3,4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pPr>
        <w:tabs>
          <w:tab w:val="left" w:pos="6480"/>
        </w:tabs>
        <w:ind w:left="708"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left="708"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 método: LuceneIndiceLimitadoWithSort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 assinatura deste método é a seguinte: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LuceneIndiceLimitadoWithSort(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fieldSort,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bool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sortReverse,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_totalResults)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dos parâmetros do mesmo: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este método em uma aplicação cliente, a partir de uma instância do Web Service que esteja sendo utilizada dentro da mesma, o usuário deverá informar os seguintes parâmetros: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 seguintes regras deverão ser observadas durante 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Todos os campos deverão ser obrigatoriamente preenchidos.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tbl>
      <w:tblPr>
        <w:tblW w:w="897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70"/>
        <w:gridCol w:w="3060"/>
        <w:gridCol w:w="4048"/>
      </w:tblGrid>
      <w:tr>
        <w:trPr>
          <w:trHeight w:val="3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Parâmetro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Descrição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OBS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QueryLucene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Query a ser enviada para o Lucene.</w:t>
              <w:br w:type="textWrapping"/>
            </w:r>
          </w:p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query que será executada através do Web Service. OBS: Esta query deve ser informada dentro dos padrões correspondente ao Lucene.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key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Senha para acesso ao método do Web Service.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Senha para acesso ao método do Web Service, esta senha será gerada pelo Departamento de Desenvolvimento de Sistemas da Aduaneiras, sendo transmitida posteriromente.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limit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de IDs que será retornado pelo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quantidade de registros pesquisados.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fieldSort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Campo que será ordenado pelo Lucene.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O nome do campo deve ser igual ENUM SortedBy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sortReverse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Em conjunto com o parâmetro fieldSort, serve para ordenar o campo de forma ascendente ou descendente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Valor true, será ordenado de forma descendente e false ascendente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_totalResults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total de IDs encontrados no Índice do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Total de registros encontrados dentro do indece do Lucene. OBS: Este é total de registros e não o total informado no parametro: 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0"/>
                <w:vertAlign w:val="baseline"/>
                <w:rtl w:val="0"/>
              </w:rPr>
              <w:t xml:space="preserve">limit.</w:t>
            </w:r>
          </w:p>
        </w:tc>
      </w:tr>
    </w:tbl>
    <w:p w:rsidP="00000000" w:rsidRPr="00000000" w:rsidR="00000000" w:rsidDel="00000000" w:rsidRDefault="00000000">
      <w:pPr>
        <w:tabs>
          <w:tab w:val="left" w:pos="6480"/>
        </w:tabs>
        <w:ind w:left="708"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8"/>
          <w:u w:val="single"/>
          <w:vertAlign w:val="baseline"/>
          <w:rtl w:val="0"/>
        </w:rPr>
        <w:t xml:space="preserve">Importante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0"/>
          <w:vertAlign w:val="baseline"/>
          <w:rtl w:val="0"/>
        </w:rPr>
        <w:t xml:space="preserve">Retorno do Método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: Retorna a classe: "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" preenchida com dados do índice.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Retorna a classe: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preenchida com dados encontrados pela busca do Lucene.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Exemplo de retorno do método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LuceneIndiceLimitadoWithSort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no caso de execução com sucesso: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1,2,3,4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 método: RetornaIndiceLuceneLimitado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 assinatura deste método é a seguinte: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86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RetornaIndiceLuceneLimitado(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QueryLucene,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limit,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_totalRetorno)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dos parâmetros do mesmo: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este método em uma aplicação cliente, a partir de uma instância do Web Service que esteja sendo utilizada dentro da mesma, o usuário deverá informar os seguintes parâmetros: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 seguintes regras deverão ser observadas durante 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Todos os campos deverão ser obrigatoriamente preenchidos.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tbl>
      <w:tblPr>
        <w:tblW w:w="897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70"/>
        <w:gridCol w:w="3060"/>
        <w:gridCol w:w="4048"/>
      </w:tblGrid>
      <w:tr>
        <w:trPr>
          <w:trHeight w:val="3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Parâmetro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Descrição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OBS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QueryLucene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Query a ser enviada para o Lucene.</w:t>
              <w:br w:type="textWrapping"/>
            </w:r>
          </w:p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query que será executada através do Web Service. OBS: Esta query deve ser informada dentro dos padrões correspondente ao Lucene.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key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Senha para acesso ao método do Web Service.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Senha para acesso ao método do Web Service, esta senha será gerada pelo Departamento de Desenvolvimento de Sistemas da Aduaneiras, sendo transmitida posteriromente.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limit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de IDs que será retornado pelo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quantidade de registros pesquisados.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_totalRetorno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Quantidade total de IDs encontrados no Índice do Lucene.</w:t>
              <w:br w:type="textWrapping"/>
            </w:r>
          </w:p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Total de registros encontrados dentro do indece do Lucene. OBS: Este é total de registros e não o total informado no parametro: 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0"/>
                <w:vertAlign w:val="baseline"/>
                <w:rtl w:val="0"/>
              </w:rPr>
              <w:t xml:space="preserve">limit.</w:t>
            </w:r>
          </w:p>
        </w:tc>
      </w:tr>
    </w:tbl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8"/>
          <w:u w:val="single"/>
          <w:vertAlign w:val="baseline"/>
          <w:rtl w:val="0"/>
        </w:rPr>
        <w:t xml:space="preserve">Importante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0"/>
          <w:vertAlign w:val="baseline"/>
          <w:rtl w:val="0"/>
        </w:rPr>
        <w:t xml:space="preserve">Retorno do Método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: Retorna a classe: "</w:t>
      </w:r>
      <w:r w:rsidRPr="00000000" w:rsidR="00000000" w:rsidDel="00000000">
        <w:rPr>
          <w:rFonts w:cs="Tahoma" w:hAnsi="Tahoma" w:eastAsia="Tahoma" w:ascii="Tahoma"/>
          <w:color w:val="2b91af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" preenchida com dados do índice.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Retorna a classe: </w:t>
      </w:r>
      <w:r w:rsidRPr="00000000" w:rsidR="00000000" w:rsidDel="00000000">
        <w:rPr>
          <w:rFonts w:cs="Tahoma" w:hAnsi="Tahoma" w:eastAsia="Tahoma" w:ascii="Tahoma"/>
          <w:color w:val="2b91af"/>
          <w:sz w:val="20"/>
          <w:vertAlign w:val="baseline"/>
          <w:rtl w:val="0"/>
        </w:rPr>
        <w:t xml:space="preserve">LuceneFields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preenchida com dados encontrados pela busca do Lucene.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Exemplo de retorno do método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LuceneIndiceLimitado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no caso de execução com sucesso: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1,2,3,4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 método: LucStnIndex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 assinatura deste método é a seguinte:</w:t>
      </w:r>
    </w:p>
    <w:p w:rsidP="00000000" w:rsidRPr="00000000" w:rsidR="00000000" w:rsidDel="00000000" w:rsidRDefault="00000000">
      <w:pPr>
        <w:tabs>
          <w:tab w:val="left" w:pos="6480"/>
        </w:tabs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public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LucStnIndex(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queryStnLuc, 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string</w:t>
      </w:r>
      <w:r w:rsidRPr="00000000" w:rsidR="00000000" w:rsidDel="00000000">
        <w:rPr>
          <w:rFonts w:cs="Tahoma" w:hAnsi="Tahoma" w:eastAsia="Tahoma" w:ascii="Tahoma"/>
          <w:sz w:val="18"/>
          <w:vertAlign w:val="baseline"/>
          <w:rtl w:val="0"/>
        </w:rPr>
        <w:t xml:space="preserve"> key)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u w:val="single"/>
          <w:vertAlign w:val="baseline"/>
          <w:rtl w:val="0"/>
        </w:rPr>
        <w:t xml:space="preserve">Descrição dos parâmetros do mesmo: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Ao invocar este método em uma aplicação cliente, a partir de uma instância do Web Service que esteja sendo utilizada dentro da mesma, o usuário deverá informar os seguintes parâmetros (todos são do tipo texto / string):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As seguintes regras deverão ser observadas durante a utilização do mesmo: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Todos os campos deverão ser obrigatoriamente preenchidos.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tbl>
      <w:tblPr>
        <w:tblW w:w="897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870"/>
        <w:gridCol w:w="3060"/>
        <w:gridCol w:w="4048"/>
      </w:tblGrid>
      <w:tr>
        <w:trPr>
          <w:trHeight w:val="3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Parâmetro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Descrição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OBS</w:t>
            </w:r>
          </w:p>
        </w:tc>
      </w:tr>
      <w:t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queryStnLuc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Query a ser enviada para o Lucene.</w:t>
              <w:br w:type="textWrapping"/>
            </w:r>
          </w:p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query que será executada através do Web Service.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O método também suporta pesquisa com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“like” para o campo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0"/>
              </w:rPr>
              <w:t xml:space="preserve">NCM_NBM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. </w:t>
            </w: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Para isso,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na query do Lucene ao invés de passar o código NCM no campo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0"/>
              </w:rPr>
              <w:t xml:space="preserve">NCM_NBM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, colocar no campo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0"/>
              </w:rPr>
              <w:t xml:space="preserve">NCM_LIKE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. Pois o método fará uma verificação da existência do campo na query com Regex e aplicará a regra correta para esse caso.</w:t>
            </w:r>
          </w:p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Obs1: Se desejar retornar o código ncm exato utilizar o campo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0"/>
              </w:rPr>
              <w:t xml:space="preserve">NCM_NBM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.</w:t>
            </w:r>
          </w:p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Obs2. Na pesquisa com “like” não precisa passar o asterisco(*) na query pois o método se encarregará disso.</w:t>
            </w:r>
          </w:p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O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bs2</w:t>
            </w: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: Esta query deve ser informada dentro dos padrões correspondente ao Lucene.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tabs>
                <w:tab w:val="left" w:pos="6480"/>
              </w:tabs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ff0000"/>
                <w:sz w:val="18"/>
                <w:vertAlign w:val="baseline"/>
                <w:rtl w:val="0"/>
              </w:rPr>
              <w:t xml:space="preserve">key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color w:val="0000ff"/>
                <w:sz w:val="20"/>
                <w:vertAlign w:val="baseline"/>
                <w:rtl w:val="0"/>
              </w:rPr>
              <w:t xml:space="preserve">Senha para acesso ao método do Web Service.</w:t>
            </w:r>
          </w:p>
        </w:tc>
        <w:tc>
          <w:tcPr>
            <w:tcMar>
              <w:top w:w="100.0" w:type="dxa"/>
              <w:left w:w="70.0" w:type="dxa"/>
              <w:bottom w:w="100.0" w:type="dxa"/>
              <w:right w:w="70.0" w:type="dxa"/>
            </w:tcMar>
          </w:tcPr>
          <w:p w:rsidP="00000000" w:rsidRPr="00000000" w:rsidR="00000000" w:rsidDel="00000000" w:rsidRDefault="00000000">
            <w:pPr>
              <w:ind w:firstLine="0"/>
              <w:jc w:val="both"/>
            </w:pPr>
            <w:r w:rsidRPr="00000000" w:rsidR="00000000" w:rsidDel="00000000">
              <w:rPr>
                <w:rFonts w:cs="Tahoma" w:hAnsi="Tahoma" w:eastAsia="Tahoma" w:ascii="Tahoma"/>
                <w:color w:val="000000"/>
                <w:sz w:val="20"/>
                <w:vertAlign w:val="baseline"/>
                <w:rtl w:val="0"/>
              </w:rPr>
              <w:t xml:space="preserve">É necessário informar a Senha para acesso ao método do Web Service, esta senha será gerada pelo Departamento de Desenvolvimento de Sistemas da Aduaneiras, sendo transmitida posteriromente.</w:t>
            </w:r>
          </w:p>
        </w:tc>
      </w:tr>
    </w:tbl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8"/>
          <w:u w:val="single"/>
          <w:vertAlign w:val="baseline"/>
          <w:rtl w:val="0"/>
        </w:rPr>
        <w:t xml:space="preserve">Importante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color w:val="ff0000"/>
          <w:sz w:val="20"/>
          <w:vertAlign w:val="baseline"/>
          <w:rtl w:val="0"/>
        </w:rPr>
        <w:t xml:space="preserve">Retorno do Método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: Retorna uma “string” preenchida com dados do índice.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Retorna uma: “string de Ids" separados por vírgula. Ex.: 1,2,3,4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48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Exemplo de retorno do método </w:t>
      </w:r>
      <w:r w:rsidRPr="00000000" w:rsidR="00000000" w:rsidDel="00000000">
        <w:rPr>
          <w:rFonts w:cs="Tahoma" w:hAnsi="Tahoma" w:eastAsia="Tahoma" w:ascii="Tahoma"/>
          <w:b w:val="1"/>
          <w:sz w:val="18"/>
          <w:vertAlign w:val="baseline"/>
          <w:rtl w:val="0"/>
        </w:rPr>
        <w:t xml:space="preserve">LucStnIndex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no caso de execução com sucesso: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1,2,3,4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ff0000"/>
          <w:sz w:val="28"/>
          <w:u w:val="single"/>
          <w:vertAlign w:val="baseline"/>
          <w:rtl w:val="0"/>
        </w:rPr>
        <w:t xml:space="preserve">OBSERVAÇÃO: Por motivos de segurança somente haverá retorno de erros nos seguintes casos: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1 – Quando algum campo que seja obrigatório não for preenchido: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Erro: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Erro inesperado.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b w:val="1"/>
          <w:color w:val="000000"/>
          <w:sz w:val="20"/>
          <w:vertAlign w:val="baseline"/>
          <w:rtl w:val="0"/>
        </w:rPr>
        <w:t xml:space="preserve">Erro</w:t>
      </w:r>
      <w:r w:rsidRPr="00000000" w:rsidR="00000000" w:rsidDel="00000000">
        <w:rPr>
          <w:rFonts w:cs="Tahoma" w:hAnsi="Tahoma" w:eastAsia="Tahoma" w:ascii="Tahoma"/>
          <w:b w:val="1"/>
          <w:color w:val="0000ff"/>
          <w:sz w:val="20"/>
          <w:vertAlign w:val="baseline"/>
          <w:rtl w:val="0"/>
        </w:rPr>
        <w:t xml:space="preserve">: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 </w:t>
      </w:r>
      <w:r w:rsidRPr="00000000" w:rsidR="00000000" w:rsidDel="00000000">
        <w:rPr>
          <w:color w:val="0000ff"/>
          <w:vertAlign w:val="baseline"/>
          <w:rtl w:val="0"/>
        </w:rPr>
        <w:t xml:space="preserve">S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tartIndex cannot be less than zero. Parameter name: startIndex 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2 - Quando ocorrer algum erro interno ao Web Service do Grupo Aduaneiras: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Erro:</w:t>
      </w: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 </w:t>
      </w:r>
      <w:r w:rsidRPr="00000000" w:rsidR="00000000" w:rsidDel="00000000">
        <w:rPr>
          <w:rFonts w:cs="Tahoma" w:hAnsi="Tahoma" w:eastAsia="Tahoma" w:ascii="Tahoma"/>
          <w:color w:val="0000ff"/>
          <w:sz w:val="20"/>
          <w:vertAlign w:val="baseline"/>
          <w:rtl w:val="0"/>
        </w:rPr>
        <w:t xml:space="preserve">KEY inválida.</w:t>
      </w:r>
      <w:r w:rsidRPr="00000000" w:rsidR="00000000" w:rsidDel="00000000">
        <w:rPr>
          <w:rFonts w:cs="Tahoma" w:hAnsi="Tahoma" w:eastAsia="Tahoma" w:ascii="Tahoma"/>
          <w:color w:val="0000ff"/>
          <w:sz w:val="18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Tahoma" w:hAnsi="Tahoma" w:eastAsia="Tahoma" w:ascii="Tahoma"/>
          <w:color w:val="ff0000"/>
          <w:sz w:val="18"/>
          <w:vertAlign w:val="baseline"/>
          <w:rtl w:val="0"/>
        </w:rPr>
        <w:t xml:space="preserve">Exemplo de possiveis erros:</w:t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KEY inválida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hanging="239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&lt;?xml version="1.0" encoding="utf-8" ?&gt;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ff0000"/>
          <w:sz w:val="20"/>
          <w:vertAlign w:val="baseline"/>
          <w:rtl w:val="0"/>
        </w:rPr>
        <w:t xml:space="preserve"> xmlns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="</w:t>
      </w:r>
      <w:r w:rsidRPr="00000000" w:rsidR="00000000" w:rsidDel="00000000">
        <w:rPr>
          <w:rFonts w:cs="Verdana" w:hAnsi="Verdana" w:eastAsia="Verdana" w:ascii="Verdana"/>
          <w:b w:val="1"/>
          <w:color w:val="ff0000"/>
          <w:sz w:val="20"/>
          <w:vertAlign w:val="baseline"/>
          <w:rtl w:val="0"/>
        </w:rPr>
        <w:t xml:space="preserve">http://webservice4.aduaneiras.com.br/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"&gt;</w:t>
      </w:r>
      <w:r w:rsidRPr="00000000" w:rsidR="00000000" w:rsidDel="00000000">
        <w:rPr>
          <w:rFonts w:cs="Verdana" w:hAnsi="Verdana" w:eastAsia="Verdana" w:ascii="Verdana"/>
          <w:b w:val="1"/>
          <w:sz w:val="20"/>
          <w:vertAlign w:val="baseline"/>
          <w:rtl w:val="0"/>
        </w:rPr>
        <w:t xml:space="preserve">StartIndex cannot be less than zero. Parameter name: startIndex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&lt;/</w:t>
      </w:r>
      <w:r w:rsidRPr="00000000" w:rsidR="00000000" w:rsidDel="00000000">
        <w:rPr>
          <w:rFonts w:cs="Verdana" w:hAnsi="Verdana" w:eastAsia="Verdana" w:ascii="Verdana"/>
          <w:color w:val="990000"/>
          <w:sz w:val="20"/>
          <w:vertAlign w:val="baseline"/>
          <w:rtl w:val="0"/>
        </w:rPr>
        <w:t xml:space="preserve">string</w:t>
      </w:r>
      <w:r w:rsidRPr="00000000" w:rsidR="00000000" w:rsidDel="00000000">
        <w:rPr>
          <w:rFonts w:cs="Verdana" w:hAnsi="Verdana" w:eastAsia="Verdana" w:ascii="Verdana"/>
          <w:color w:val="0000ff"/>
          <w:sz w:val="20"/>
          <w:vertAlign w:val="baseline"/>
          <w:rtl w:val="0"/>
        </w:rPr>
        <w:t xml:space="preserve">&gt;</w:t>
      </w:r>
      <w:r w:rsidRPr="00000000" w:rsidR="00000000" w:rsidDel="00000000">
        <w:rPr>
          <w:rFonts w:cs="Verdana" w:hAnsi="Verdana" w:eastAsia="Verdana" w:ascii="Verdana"/>
          <w:sz w:val="20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drawing>
          <wp:inline>
            <wp:extent cy="142875" cx="1905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142875" cx="1905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jc w:val="center"/>
      </w:pPr>
      <w:r w:rsidRPr="00000000" w:rsidR="00000000" w:rsidDel="00000000">
        <w:drawing>
          <wp:inline>
            <wp:extent cy="142875" cx="190500"/>
            <wp:docPr id="2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142875" cx="1905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ahoma" w:hAnsi="Tahoma" w:eastAsia="Tahoma" w:ascii="Tahoma"/>
          <w:b w:val="1"/>
          <w:color w:val="0000ff"/>
          <w:u w:val="singl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ind w:firstLine="0"/>
        <w:jc w:val="center"/>
      </w:pPr>
      <w:r w:rsidRPr="00000000" w:rsidR="00000000" w:rsidDel="00000000">
        <w:rPr>
          <w:rFonts w:cs="Tahoma" w:hAnsi="Tahoma" w:eastAsia="Tahoma" w:ascii="Tahoma"/>
          <w:b w:val="1"/>
          <w:color w:val="0000ff"/>
          <w:u w:val="single"/>
          <w:vertAlign w:val="baseline"/>
          <w:rtl w:val="0"/>
        </w:rPr>
        <w:t xml:space="preserve">Utilização do Método para efetuar consulta</w:t>
      </w:r>
    </w:p>
    <w:p w:rsidP="00000000" w:rsidRPr="00000000" w:rsidR="00000000" w:rsidDel="00000000" w:rsidRDefault="00000000">
      <w:pPr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sz w:val="20"/>
          <w:vertAlign w:val="baseline"/>
          <w:rtl w:val="0"/>
        </w:rPr>
        <w:t xml:space="preserve">1 - Criar o método abaixo: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private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</w:t>
      </w: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void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ExemploPesquisaWebServicesLucene()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{</w:t>
      </w:r>
    </w:p>
    <w:p w:rsidP="00000000" w:rsidRPr="00000000" w:rsidR="00000000" w:rsidDel="00000000" w:rsidRDefault="00000000">
      <w:pPr>
        <w:ind w:left="708" w:firstLine="0"/>
      </w:pP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WebserviceProducao2._9._2.</w:t>
      </w:r>
      <w:r w:rsidRPr="00000000" w:rsidR="00000000" w:rsidDel="00000000">
        <w:rPr>
          <w:rFonts w:cs="Consolas" w:hAnsi="Consolas" w:eastAsia="Consolas" w:ascii="Consolas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_lucene = </w:t>
      </w: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new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WebserviceProducao2._9._2.</w:t>
      </w:r>
      <w:r w:rsidRPr="00000000" w:rsidR="00000000" w:rsidDel="00000000">
        <w:rPr>
          <w:rFonts w:cs="Consolas" w:hAnsi="Consolas" w:eastAsia="Consolas" w:ascii="Consolas"/>
          <w:color w:val="2b91af"/>
          <w:sz w:val="18"/>
          <w:vertAlign w:val="baseline"/>
          <w:rtl w:val="0"/>
        </w:rPr>
        <w:t xml:space="preserve">LuceneFields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();</w:t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int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_totalResults = 0;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08"/>
      </w:pP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_lucene = </w:t>
      </w: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new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WebserviceProducao2._9._2.</w:t>
      </w:r>
      <w:r w:rsidRPr="00000000" w:rsidR="00000000" w:rsidDel="00000000">
        <w:rPr>
          <w:rFonts w:cs="Consolas" w:hAnsi="Consolas" w:eastAsia="Consolas" w:ascii="Consolas"/>
          <w:color w:val="2b91af"/>
          <w:sz w:val="18"/>
          <w:vertAlign w:val="baseline"/>
          <w:rtl w:val="0"/>
        </w:rPr>
        <w:t xml:space="preserve">Service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().RetornaIndiceLuceneLimitado(query, </w:t>
      </w:r>
      <w:r w:rsidRPr="00000000" w:rsidR="00000000" w:rsidDel="00000000">
        <w:rPr>
          <w:rFonts w:cs="Consolas" w:hAnsi="Consolas" w:eastAsia="Consolas" w:ascii="Consolas"/>
          <w:color w:val="a31515"/>
          <w:sz w:val="18"/>
          <w:vertAlign w:val="baseline"/>
          <w:rtl w:val="0"/>
        </w:rPr>
        <w:t xml:space="preserve">"senha"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, </w:t>
      </w:r>
      <w:r w:rsidRPr="00000000" w:rsidR="00000000" w:rsidDel="00000000">
        <w:rPr>
          <w:rFonts w:cs="Consolas" w:hAnsi="Consolas" w:eastAsia="Consolas" w:ascii="Consolas"/>
          <w:color w:val="a31515"/>
          <w:sz w:val="18"/>
          <w:vertAlign w:val="baseline"/>
          <w:rtl w:val="0"/>
        </w:rPr>
        <w:t xml:space="preserve">"300"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, </w:t>
      </w:r>
      <w:r w:rsidRPr="00000000" w:rsidR="00000000" w:rsidDel="00000000">
        <w:rPr>
          <w:rFonts w:cs="Consolas" w:hAnsi="Consolas" w:eastAsia="Consolas" w:ascii="Consolas"/>
          <w:color w:val="0000ff"/>
          <w:sz w:val="18"/>
          <w:vertAlign w:val="baseline"/>
          <w:rtl w:val="0"/>
        </w:rPr>
        <w:t xml:space="preserve">out</w:t>
      </w: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 _totalResults);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Consolas" w:hAnsi="Consolas" w:eastAsia="Consolas" w:ascii="Consolas"/>
          <w:sz w:val="18"/>
          <w:vertAlign w:val="baseline"/>
          <w:rtl w:val="0"/>
        </w:rPr>
        <w:t xml:space="preserve">}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Fonts w:cs="Tahoma" w:hAnsi="Tahoma" w:eastAsia="Tahoma" w:ascii="Tahoma"/>
          <w:b w:val="1"/>
          <w:color w:val="ff0000"/>
          <w:u w:val="single"/>
          <w:vertAlign w:val="baseline"/>
          <w:rtl w:val="0"/>
        </w:rPr>
        <w:t xml:space="preserve">Importante:</w:t>
      </w:r>
    </w:p>
    <w:p w:rsidP="00000000" w:rsidRPr="00000000" w:rsidR="00000000" w:rsidDel="00000000" w:rsidRDefault="00000000">
      <w:pPr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jc w:val="both"/>
      </w:pPr>
      <w:r w:rsidRPr="00000000" w:rsidR="00000000" w:rsidDel="00000000">
        <w:rPr>
          <w:rFonts w:cs="Tahoma" w:hAnsi="Tahoma" w:eastAsia="Tahoma" w:ascii="Tahoma"/>
          <w:b w:val="1"/>
          <w:sz w:val="20"/>
          <w:vertAlign w:val="baseline"/>
          <w:rtl w:val="0"/>
        </w:rPr>
        <w:t xml:space="preserve">O exemplo acima corresponde a linguagem: “C#” da plataforma DOT NET, é necessário associar o método acima a algum evento, por exemplo o evento OnClick de um Botão, sendo assim toma-lá apenas como exemplo de como implementar em outra linguagens.</w:t>
      </w:r>
    </w:p>
    <w:sectPr>
      <w:headerReference r:id="rId9" w:type="default"/>
      <w:footerReference r:id="rId10" w:type="default"/>
      <w:pgSz w:w="12240" w:h="15840"/>
      <w:pgMar w:left="1701" w:right="1260" w:top="181" w:bottom="10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onsolas"/>
  <w:font w:name="Tahom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419"/>
        <w:tab w:val="right" w:pos="8838"/>
      </w:tabs>
      <w:spacing w:lineRule="auto" w:after="0" w:line="240" w:before="0"/>
      <w:ind w:firstLine="0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419"/>
        <w:tab w:val="right" w:pos="8838"/>
      </w:tabs>
      <w:spacing w:lineRule="auto" w:after="0" w:line="240" w:before="0"/>
      <w:ind w:firstLine="0" w:right="360"/>
    </w:pPr>
    <w:r w:rsidRPr="00000000" w:rsidR="00000000" w:rsidDel="00000000">
      <w:rPr>
        <w:rFonts w:cs="Times New Roman" w:hAnsi="Times New Roman" w:eastAsia="Times New Roman" w:ascii="Times New Roman"/>
        <w:sz w:val="24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419"/>
        <w:tab w:val="right" w:pos="8838"/>
      </w:tabs>
      <w:spacing w:lineRule="auto" w:after="0" w:line="240" w:before="0"/>
      <w:ind w:firstLine="0"/>
    </w:pPr>
    <w:r w:rsidRPr="00000000" w:rsidR="00000000" w:rsidDel="00000000">
      <w:drawing>
        <wp:inline>
          <wp:extent cy="896620" cx="5890260"/>
          <wp:docPr id="3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ext cy="896620" cx="5890260"/>
                  </a:xfrm>
                  <a:prstGeom prst="rect"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■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■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6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footer1.xml" Type="http://schemas.openxmlformats.org/officeDocument/2006/relationships/footer" Id="rId10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9"/><Relationship Target="http://webservice4.aduaneiras.com.br/service.asmx?wsdl" Type="http://schemas.openxmlformats.org/officeDocument/2006/relationships/hyperlink" TargetMode="External" Id="rId6"/><Relationship Target="http://webservice4.aduaneiras.com.br/service.asmx?wsdl" Type="http://schemas.openxmlformats.org/officeDocument/2006/relationships/hyperlink" TargetMode="External" Id="rId5"/><Relationship Target="media/image00.png" Type="http://schemas.openxmlformats.org/officeDocument/2006/relationships/image" Id="rId8"/><Relationship Target="media/image01.png" Type="http://schemas.openxmlformats.org/officeDocument/2006/relationships/image" Id="rId7"/></Relationships>
</file>

<file path=word/_rels/header1.xml.rels><?xml version="1.0" encoding="UTF-8" standalone="yes"?><Relationships xmlns="http://schemas.openxmlformats.org/package/2006/relationships"><Relationship Target="media/image02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Lucene Documento 1.0.0.0.docx</dc:title>
</cp:coreProperties>
</file>